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CF0EA">
      <w:pPr>
        <w:pStyle w:val="2"/>
        <w:keepNext w:val="0"/>
        <w:keepLines w:val="0"/>
        <w:widowControl/>
        <w:suppressLineNumbers w:val="0"/>
        <w:spacing w:before="632" w:beforeAutospacing="0" w:after="240" w:afterAutospacing="0"/>
        <w:ind w:left="660" w:right="660"/>
        <w:jc w:val="center"/>
        <w:rPr>
          <w:rFonts w:ascii="var(--dsw-font-markdown-h2)" w:hAnsi="var(--dsw-font-markdown-h2)" w:eastAsia="var(--dsw-font-markdown-h2)" w:cs="var(--dsw-font-markdown-h2)"/>
        </w:rPr>
      </w:pPr>
      <w:r>
        <w:rPr>
          <w:rFonts w:hint="default" w:ascii="var(--dsw-font-markdown-h2)" w:hAnsi="var(--dsw-font-markdown-h2)" w:eastAsia="var(--dsw-font-markdown-h2)" w:cs="var(--dsw-font-markdown-h2)"/>
        </w:rPr>
        <w:t>高校应用型文件逻辑层级一览</w:t>
      </w:r>
    </w:p>
    <w:tbl>
      <w:tblPr>
        <w:tblW w:w="0" w:type="auto"/>
        <w:tblInd w:w="6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04"/>
        <w:gridCol w:w="2897"/>
        <w:gridCol w:w="2136"/>
        <w:gridCol w:w="2644"/>
        <w:gridCol w:w="4111"/>
      </w:tblGrid>
      <w:tr w14:paraId="622F9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9B7191">
            <w:pPr>
              <w:keepNext w:val="0"/>
              <w:keepLines w:val="0"/>
              <w:widowControl/>
              <w:suppressLineNumbers w:val="0"/>
              <w:jc w:val="left"/>
              <w:rPr>
                <w:rFonts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逻辑层级</w:t>
            </w:r>
          </w:p>
        </w:tc>
        <w:tc>
          <w:tcPr>
            <w:tcW w:w="2897" w:type="dxa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FE85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代表性文件</w:t>
            </w:r>
          </w:p>
        </w:tc>
        <w:tc>
          <w:tcPr>
            <w:tcW w:w="2136" w:type="dxa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D5EC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文号/发布信息</w:t>
            </w:r>
          </w:p>
        </w:tc>
        <w:tc>
          <w:tcPr>
            <w:tcW w:w="2644" w:type="dxa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DA25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核心指向</w:t>
            </w:r>
          </w:p>
        </w:tc>
        <w:tc>
          <w:tcPr>
            <w:tcW w:w="4111" w:type="dxa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8B44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操作落点</w:t>
            </w:r>
          </w:p>
        </w:tc>
      </w:tr>
      <w:tr w14:paraId="00BFA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0488F0">
            <w:pPr>
              <w:keepNext w:val="0"/>
              <w:keepLines w:val="0"/>
              <w:widowControl/>
              <w:suppressLineNumbers w:val="0"/>
              <w:jc w:val="left"/>
              <w:rPr>
                <w:rFonts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顶层定位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2B4F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《教育强国建设规划纲要（2024—2035年）》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125A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中共中央、国务院，2025年1月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0624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按研究型、应用型、技能型分类推进，应用型成为法定赛道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4B11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确认本校在分类体系中的站位；对标分类支持政策</w:t>
            </w:r>
          </w:p>
        </w:tc>
      </w:tr>
      <w:tr w14:paraId="0F434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44A3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顶层定位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D071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“双优”建设计划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1087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“十五五”期间，教育部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138C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建设200所左右高水平应用型本科高校，以“办学能力优质、服务区域优秀”为目标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A840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将“双优”作为应用型赛道的国家级建设标杆与资源入口</w:t>
            </w:r>
          </w:p>
        </w:tc>
      </w:tr>
      <w:tr w14:paraId="124C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FBB3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基础框架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70F1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《关于引导部分地方普通本科高校向应用型转变的指导意见》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C055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教发〔2015〕7号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0536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确立应用型类型定位，以产教融合、校企合作为突破口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9B91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框定转型任务范围；作为后续专项文件的上位依据</w:t>
            </w:r>
          </w:p>
        </w:tc>
      </w:tr>
      <w:tr w14:paraId="4E49E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2B63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基础框架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8365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《国务院办公厅关于深化产教融合的若干意见》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BF84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国办发〔2017〕95号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ADFE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将产教融合提升为跨部门产业—教育协同机制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5CCD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为产业学院、实训基地、双师队伍等提供合法性来源</w:t>
            </w:r>
          </w:p>
        </w:tc>
      </w:tr>
      <w:tr w14:paraId="119FC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0131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核心抓手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7CD3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《现代产业学院建设指南（试行）》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CDF9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教高厅函〔2020〕16号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A977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重点面向应用型高校，建设现代产业学院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0896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七大建设任务作为项目化对标清单</w:t>
            </w:r>
          </w:p>
        </w:tc>
      </w:tr>
      <w:tr w14:paraId="1514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1C74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核心抓手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E0DC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《建设产教融合型企业实施办法（试行）》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C20A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发改社会〔2019〕590号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C6AF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从企业端建立产教融合认证与激励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EB20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为校企合作寻找认证企业载体与政策激励</w:t>
            </w:r>
          </w:p>
        </w:tc>
      </w:tr>
      <w:tr w14:paraId="01D5C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D9C6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核心抓手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A124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市域产教联合体建设通知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1F70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教职成厅函〔2023〕15号；〔2024〕20号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CAD2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以产业园区为基础深化四个合作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3E9E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将合作办学、育人、就业、发展纳入区域制度框架</w:t>
            </w:r>
          </w:p>
        </w:tc>
      </w:tr>
      <w:tr w14:paraId="7D6EC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0347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要素支撑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0DB4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本科教学工作合格评估指标体系（实践教学要求）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8650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合格评估标准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BC80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人文社科实践教学≥20%，理工农医≥25%，师范实习≥12周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CAF6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约束培养方案学时结构，作为应用型课程体系的观测底线</w:t>
            </w:r>
          </w:p>
        </w:tc>
      </w:tr>
      <w:tr w14:paraId="23D3C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A870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要素支撑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9A57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江西应用型本科“双师型”教师认定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E9D6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赣教职成办函〔2025〕11号等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80F4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将应用型本科纳入双师认定序列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EE8C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省级认定操作样本；部分省份另有40%—50%比例要求</w:t>
            </w:r>
          </w:p>
        </w:tc>
      </w:tr>
      <w:tr w14:paraId="26F04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6E6A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评价考核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BC10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《普通高等学校本科教育教学审核评估实施方案（2021—2025年）》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37C4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教督〔2021〕1号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15D5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分类评估，第二类、第三类覆盖应用型高校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3D40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应用型高校在评估中有专门轨道；评估重心向培养质量与服务贡献倾斜</w:t>
            </w:r>
          </w:p>
        </w:tc>
      </w:tr>
      <w:tr w14:paraId="4EF1D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1591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评价考核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2C94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《浙江省应用型本科院校建设指导性评价指标体系（试行）》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EBC3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浙教高教〔2015〕47号配套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076C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将应用型建设转化为可评分指标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77E6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引导“突出应用、聚焦应用”；用于自评与建设评价</w:t>
            </w:r>
          </w:p>
        </w:tc>
      </w:tr>
      <w:tr w14:paraId="2F328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5ECA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省级实施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E4D4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江西《关于进一步加强高水平应用型普通本科高校建设的实施意见》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470F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赣教高字〔2022〕32号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574C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2/3以上本科高校建成应用型；8—10所示范校；30个以上产业学院；100个以上品牌专业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CEF3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“三大融合—四大转型—五大改革—六大项目”任务分解框架</w:t>
            </w:r>
          </w:p>
        </w:tc>
      </w:tr>
      <w:tr w14:paraId="41578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951C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省级实施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ABF4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浙江《关于进一步深化产教融合的实施意见》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D6CF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省政府办公厅，2025年施行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12FF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“高校+平台+企业+产业链”融合体系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4351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结对机制、产业教授、科技副总等操作安排</w:t>
            </w:r>
          </w:p>
        </w:tc>
      </w:tr>
      <w:tr w14:paraId="1408E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1829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省级实施</w:t>
            </w:r>
          </w:p>
        </w:tc>
        <w:tc>
          <w:tcPr>
            <w:tcW w:w="2897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D220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江苏《一流应用型本科高校遴选建设实施方案》</w:t>
            </w:r>
          </w:p>
        </w:tc>
        <w:tc>
          <w:tcPr>
            <w:tcW w:w="2136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6A3E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江苏省教育厅，2024年</w:t>
            </w:r>
          </w:p>
        </w:tc>
        <w:tc>
          <w:tcPr>
            <w:tcW w:w="2644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6B04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2028年前遴选10所左右首轮建设单位</w:t>
            </w:r>
          </w:p>
        </w:tc>
        <w:tc>
          <w:tcPr>
            <w:tcW w:w="4111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E7F1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6方面37条验收评价指标作为建设对标口径</w:t>
            </w:r>
          </w:p>
        </w:tc>
      </w:tr>
    </w:tbl>
    <w:p w14:paraId="0AD440F5">
      <w:pPr>
        <w:pStyle w:val="3"/>
        <w:keepNext w:val="0"/>
        <w:keepLines w:val="0"/>
        <w:widowControl/>
        <w:suppressLineNumbers w:val="0"/>
        <w:spacing w:before="240" w:beforeAutospacing="0" w:after="0" w:afterAutospacing="0"/>
        <w:ind w:left="660" w:right="660"/>
      </w:pPr>
      <w:r>
        <w:rPr>
          <w:rFonts w:ascii="var(--dsw-font-markdown-base)" w:hAnsi="var(--dsw-font-markdown-base)" w:eastAsia="var(--dsw-font-markdown-base)" w:cs="var(--dsw-font-markdown-base)"/>
          <w:b/>
          <w:bCs/>
        </w:rPr>
        <w:t>使用提示</w:t>
      </w:r>
      <w:r>
        <w:rPr>
          <w:rFonts w:hint="default" w:ascii="var(--dsw-font-markdown-base)" w:hAnsi="var(--dsw-font-markdown-base)" w:eastAsia="var(--dsw-font-markdown-base)" w:cs="var(--dsw-font-markdown-base)"/>
        </w:rPr>
        <w:t>：高校对表时，建议按表中自上而下的顺序逐层回溯——先确认本校在省级分类管理和“双优”布局中的可能站位，再以现代产业学院和双师型队伍文件为当前最直接的操作抓手，最后用贡献导向的评估与评价指标反向校准专业设置、实践学时和师资配置。基础框架文件（教发〔2015〕7号、国办发〔2017〕95号）不必逐条对应，但应作为所有操作任务的解释依据和合法性来源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ar(--dsw-font-markdown-h2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var(--dsw-font-markdown-table-head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base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small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nter">
    <w:panose1 w:val="02000503000000020004"/>
    <w:charset w:val="00"/>
    <w:family w:val="auto"/>
    <w:pitch w:val="default"/>
    <w:sig w:usb0="E00002FF" w:usb1="1200A1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F6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2026-11-02T10:10:21Z</dcterms:created>
  <dc:creator>Administrator</dc:creator>
  <cp:lastModifiedBy>前行</cp:lastModifiedBy>
  <dcterms:modified xsi:type="dcterms:W3CDTF">2026-11-02T10:21:01Z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eyJoZGlkIjoiOWRhZDM0ZWZjMTQxYTU0YWQ3YmQ4OTk4ZWNmZWZmNjciLCJ1c2VySWQiOiI0NjAxNTUxNjEifQ==</vt:lpwstr>
  </property>
  <property fmtid="{D5CDD505-2E9C-101B-9397-08002B2CF9AE}" pid="4" name="ICV">
    <vt:lpwstr>4A5B28EABAA54138BAB0E77A5C21DDD5_12</vt:lpwstr>
  </property>
</Properties>
</file>